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after="100" w:before="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46"/>
          <w:szCs w:val="46"/>
        </w:rPr>
      </w:pPr>
      <w:bookmarkStart w:colFirst="0" w:colLast="0" w:name="_jli208qj90li" w:id="0"/>
      <w:bookmarkEnd w:id="0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46"/>
          <w:szCs w:val="46"/>
          <w:rtl w:val="0"/>
        </w:rPr>
        <w:t xml:space="preserve">Публичная оферта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rtl w:val="0"/>
        </w:rPr>
        <w:t xml:space="preserve">Редакция от 24 сентября 2026 г.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lec6zzckghnp" w:id="1"/>
      <w:bookmarkEnd w:id="1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Настоящий документ является публичной офертой (далее — «Оферта») сервиса ZAMON (далее — «Компания», «Мы») и содержит все существенные условия договора на оказание посреднических и технических услуг (далее — «Договор») по приобретению цифровых товаров и услуг в сервисах цифровой дистрибуции (PlayStation Store, Steam и иных) в соответствии с законодательством Кыргызской Республики.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Используя функционал сайта https://zamon.app, его зеркал ru.zamon.app и ww.zamon.app и страницы оплаты https://pay.zamon.app (вместе — «Сайт»), Пользователь может реализовывать права и исполнять обязанности, предусмотренные Договором.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Акцептом Оферты и заключением Договора является оформление и оплата заказа на Сайте. К отношениям между Компанией и Пользователем применяется законодательство Кыргызской Республики, если иное прямо не предусмотрено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wkj5wt4nekv8" w:id="2"/>
      <w:bookmarkEnd w:id="2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Пользователь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дееспособное совершеннолетнее физическое лицо, действующее от своего имени и в своих интересах, не имеющее законодательных ограничений для заключения Договора.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Услуга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посреднические и технические действия Компании по приобретению для Пользователя выбранного им цифрового товара (игры, дополнения, издания, подписки, пополнения кошелька) и передаче его Пользователю (подарком на аккаунт, ключом активации или иным способом, указанным при заказе).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Сервис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онлайн-платформа третьего лица (PlayStation Store, Steam и др.), в которой активируется цифровой товар; Компания не состоит в договорных отношениях с такими платформами.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Комиссия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вознаграждение Компании за оказание Услуги,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включённое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в стоимость заказа, отображаемую на Сайте в момент оформления.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ooxdtougzxv1" w:id="3"/>
      <w:bookmarkEnd w:id="3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Компания обязуется по заданию Пользователя за вознаграждение совершить действия по приобретению выбранного Пользователем цифрового товара и его передаче Пользователю указанным при заказе способом. Компания не является правообладателем цифровых товаров и не является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платёжной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организацией;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расчёты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проводятся через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привлечённых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Компанией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партнёров.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o9mwd6b0p39c" w:id="4"/>
      <w:bookmarkEnd w:id="4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4. Порядок оформления и акцепт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Пользователь выбирает товар и способ получения на Сайте, при необходимости указывает данные для выдачи (например, ссылку на профиль в Сервисе или логин), знакомится с настоящей Офертой и Политикой конфиденциальности и подтверждает согласие. Оформление и оплата заказа означают полный и безоговорочный акцепт Оферты. Пользователь гарантирует достоверность предоставленных данных и наличие прав на аккаунт/профиль, указанный для выдачи.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yddqgw8jqnfz" w:id="5"/>
      <w:bookmarkEnd w:id="5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5. Стоимость и оплата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Стоимость Услуги и товара указывается на Сайте в валюте, выбранной Пользователем (рубли РФ, тенге, сомы, сомони, сумы или доллары США), и является динамической. Итоговая сумма к оплате и валюта списания указываются на странице оплаты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до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подтверждения платежа. Оплата производится через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партнёров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Компании доступными на Сайте способами (в том числе СБП, банковской картой, иными методами по мере подключения). Платёжные данные банковских карт обрабатываются и хранятся исключительно платёжными партнёрами; Компания не собирает и не хранит реквизиты карт.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pu9nf13ui7g2" w:id="6"/>
      <w:bookmarkEnd w:id="6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6. Порядок предоставления Услуги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После подтверждения оплаты Компания приступает к выдаче цифрового товара выбранным способом. Ориентировочный срок выдачи — 5–15 минут в рабочее время; в отдельных случаях (проверка платежа, региональные особенности Сервиса, необходимость подтверждения данных Пользователем) срок может быть увеличен. Для подарка на аккаунт Пользователь обязан принять входящий запрос/заявку в Сервисе. Товар считается предоставленным с момента его отправки на указанный Пользователем аккаунт/профиль или передачи кода активации.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f2ckr1h80oeh" w:id="7"/>
      <w:bookmarkEnd w:id="7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6.1. Подписки на сервисы и официальные подписки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Раздел «Нейросети и сервисы» включает три вида товаров, способ указан у каждого тарифа: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официальная подписка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Компания за вознаграждение оплачивает подписку у самого сервиса на аккаунт Пользователя (цена складывается из официальной стоимости сервиса по текущему курсу и вознаграждения Компании и пересчитывается ежедневно);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код активации, ссылка или ключ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Пользователь активирует их самостоятельно на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своём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аккаунте;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готовый аккаунт или место в семейной подписке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Пользователь получает данные для входа либо приглашение в группу. Для подключения на аккаунт Пользователь сообщает e-mail (логин) аккаунта; пароль не запрашивается. E-mail используется только для подключения выбранной подписки и не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передаётся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третьим лицам, кроме сервиса-правообладателя. Сроки, лимиты, кредиты и условия гарантии указаны в описании тарифа и являются частью заказа. Подключение выполняется в рабочее время, указанное на Сайте.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qxqcajqfuwat" w:id="8"/>
      <w:bookmarkEnd w:id="8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7. Возврат оплаты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Цифровые товары после их фактической выдачи возврату и обмену не подлежат в силу их природы и правил соответствующих Сервисов. На доступ к аккаунту с игрой (способы П2 и П3) действует гарантия 6 (шесть) месяцев с момента выдачи: если в течение этого срока доступ к игре перестал работать не по вине Пользователя, Компания заменяет аккаунт, а при невозможности замены возвращает уплаченные средства. Если Услуга не может быть оказана по вине Компании (товар недоступен, ошибочно указанный Компанией регион и т.п.) и товар фактически не передан, Компания по согласованию с Пользователем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переоформляет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заказ либо осуществляет возврат уплаченных денежных средств тем же способом, которым была произведена оплата. Возврат производится в разумный срок после установления обстоятельств. По подпискам на сервисы: до момента оплаты подписки сервису или выдачи кода/доступа Пользователь вправе отказаться от заказа с полным возвратом. После подключения официальной подписки на аккаунт Пользователя или выдачи кода, ключа, доступа возврат возможен только если подписка не активировалась или прекратила действовать раньше срока, указанного в гарантии тарифа — в этом случае Компания заменяет товар или возвращает оплату. Отказ Пользователя от уже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подключённой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подписки, смена решения, блокировка аккаунта Пользователя по правилам сервиса или нарушение им условий сервиса основанием для возврата не являются.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fq8725df1a6f" w:id="9"/>
      <w:bookmarkEnd w:id="9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8. Ограничения использования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Запрещается использовать Сайт для противоправных целей, вводить чужие или недостоверные данные, предоставлять для выдачи аккаунты, не принадлежащие Пользователю, а также совершать действия, наносящие вред Компании, Сервисам или третьим лицам. Компания вправе отказать в оказании Услуги и аннулировать заказ при выявлении признаков нарушения настоящих условий или мошенничества, с возвратом уплаченных средств за неоказанную Услугу.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hvk6j76hieyf" w:id="10"/>
      <w:bookmarkEnd w:id="10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9. Безопасность платежей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Приём платежей осуществляется через сертифицированных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партнёров с использованием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защищённых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протоколов передачи данных. Компания не запрашивает и не хранит полные реквизиты банковских карт, пароли от личных аккаунтов Пользователя в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платёжных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системах и не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передаёт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их третьим лицам, кроме как в объёме, необходимом для проведения платежа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платёжным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партнёром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scywaiqwxiqs" w:id="11"/>
      <w:bookmarkEnd w:id="11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10. Ответственность сторон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Услуга предоставляется «как есть». Компания не отвечает за работоспособность, политику и решения Сервисов (PlayStation, Steam и др.), включая блокировки, изменение правил и региональные ограничения, а также за последствия предоставления Пользователем недостоверных данных. Ответственность Компании во всех случаях ограничена стоимостью конкретного оплаченного заказа. Компания не несёт ответственности за косвенные убытки и упущенную выгоду.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q2l7g0bts21d" w:id="12"/>
      <w:bookmarkEnd w:id="12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11. Интеллектуальная собственность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Все товарные знаки, логотипы и материалы принадлежат их правообладателям (Sony Interactive Entertainment, Valve Corporation и др.) и используются исключительно в информационных целях. Изображения товаров приведены для ознакомления.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6ihpqbg4kx2m" w:id="13"/>
      <w:bookmarkEnd w:id="13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12. Изменение Оферты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Компания вправе в одностороннем порядке изменять Оферту, публикуя новую редакцию на Сайте. Изменения вступают в силу с момента публикации. Продолжение использования Сайта после публикации изменений означает согласие Пользователя с новой редакцией. Пользователю рекомендуется периодически знакомиться с актуальной редакцией.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</w:rPr>
      </w:pPr>
      <w:bookmarkStart w:colFirst="0" w:colLast="0" w:name="_k8svf19efwbs" w:id="14"/>
      <w:bookmarkEnd w:id="14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4"/>
          <w:szCs w:val="34"/>
          <w:rtl w:val="0"/>
        </w:rPr>
        <w:t xml:space="preserve">13. Применимое право и разрешение споров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К отношениям сторон применяется законодательство Кыргызской Республики. Стороны стремятся разрешать споры 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путём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переговоров; при недостижении согласия спор подлежит рассмотрению в соответствии с применимым законодательством по месту нахождения Компании. Обмен юридически значимой корреспонденцией осуществляется по адресу Компании и по указанным контактным данным.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5f5f7" w:val="clear"/>
        <w:spacing w:before="420" w:line="254.4" w:lineRule="auto"/>
        <w:rPr>
          <w:rFonts w:ascii="Helvetica Neue" w:cs="Helvetica Neue" w:eastAsia="Helvetica Neue" w:hAnsi="Helvetica Neue"/>
          <w:b w:val="1"/>
          <w:bCs w:val="1"/>
          <w:color w:val="1d1d1f"/>
          <w:sz w:val="36"/>
          <w:szCs w:val="36"/>
        </w:rPr>
      </w:pPr>
      <w:bookmarkStart w:colFirst="0" w:colLast="0" w:name="_ga9jyle7ykvw" w:id="15"/>
      <w:bookmarkEnd w:id="15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d1d1f"/>
          <w:sz w:val="36"/>
          <w:szCs w:val="36"/>
          <w:rtl w:val="0"/>
        </w:rPr>
        <w:t xml:space="preserve">Реквизиты сервиса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5f5f7" w:val="clear"/>
        <w:spacing w:before="420" w:line="395.99999999999994" w:lineRule="auto"/>
        <w:rPr>
          <w:rFonts w:ascii="Helvetica Neue" w:cs="Helvetica Neue" w:eastAsia="Helvetica Neue" w:hAnsi="Helvetica Neue"/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ZAMON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сервис цифровых товаров</w:t>
        <w:br w:type="textWrapping"/>
        <w:t xml:space="preserve">ОсОО "Буллс Кейджи"</w:t>
        <w:br w:type="textWrapping"/>
        <w:t xml:space="preserve">Регистрационный номер: 307583-3301-ООО</w:t>
        <w:br w:type="textWrapping"/>
        <w:t xml:space="preserve">Юридический Адрес: Кыргызская Республика, г.Бишкек, Октябрьский район, ул.Касыма Тыныстанова, 6, кв.14</w:t>
        <w:br w:type="textWrapping"/>
        <w:t xml:space="preserve">Сайт: </w:t>
      </w:r>
      <w:hyperlink r:id="rId6">
        <w:r w:rsidDel="00000000" w:rsidR="00000000" w:rsidRPr="00000000">
          <w:rPr>
            <w:rFonts w:ascii="Helvetica Neue" w:cs="Helvetica Neue" w:eastAsia="Helvetica Neue" w:hAnsi="Helvetica Neue"/>
            <w:color w:val="0878d1"/>
            <w:sz w:val="24"/>
            <w:szCs w:val="24"/>
            <w:rtl w:val="0"/>
          </w:rPr>
          <w:t xml:space="preserve">https://zamon.app</w:t>
          <w:br w:type="textWrapping"/>
        </w:r>
      </w:hyperlink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Связь: Telegram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color w:val="0878d1"/>
            <w:sz w:val="24"/>
            <w:szCs w:val="24"/>
            <w:rtl w:val="0"/>
          </w:rPr>
          <w:t xml:space="preserve">@vensurel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, e-mail: zamon@zamon.app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mon.app/" TargetMode="External"/><Relationship Id="rId7" Type="http://schemas.openxmlformats.org/officeDocument/2006/relationships/hyperlink" Target="https://t.me/vensure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